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D4CB3" w14:textId="338AFFAA" w:rsidR="00333DE9" w:rsidRDefault="00333DE9" w:rsidP="00333DE9">
      <w:pPr>
        <w:jc w:val="center"/>
        <w:rPr>
          <w:rFonts w:ascii="Calibri" w:hAnsi="Calibri"/>
          <w:b/>
          <w:sz w:val="28"/>
          <w:szCs w:val="28"/>
        </w:rPr>
      </w:pPr>
      <w:proofErr w:type="spellStart"/>
      <w:r w:rsidRPr="00333DE9">
        <w:rPr>
          <w:rFonts w:ascii="Calibri" w:hAnsi="Calibri"/>
          <w:b/>
          <w:sz w:val="28"/>
          <w:szCs w:val="28"/>
        </w:rPr>
        <w:t>Advance</w:t>
      </w:r>
      <w:proofErr w:type="spellEnd"/>
      <w:r w:rsidRPr="00333DE9">
        <w:rPr>
          <w:rFonts w:ascii="Calibri" w:hAnsi="Calibri"/>
          <w:b/>
          <w:sz w:val="28"/>
          <w:szCs w:val="28"/>
        </w:rPr>
        <w:t xml:space="preserve"> Tower 1-2</w:t>
      </w:r>
    </w:p>
    <w:p w14:paraId="767EF9E5" w14:textId="77777777" w:rsidR="00333DE9" w:rsidRPr="00333DE9" w:rsidRDefault="00333DE9" w:rsidP="00333DE9">
      <w:pPr>
        <w:jc w:val="center"/>
        <w:rPr>
          <w:rFonts w:ascii="Calibri" w:hAnsi="Calibri"/>
          <w:b/>
          <w:sz w:val="28"/>
          <w:szCs w:val="28"/>
        </w:rPr>
      </w:pPr>
    </w:p>
    <w:p w14:paraId="59542B32" w14:textId="77777777" w:rsidR="00333DE9" w:rsidRPr="00E8313D" w:rsidRDefault="00333DE9" w:rsidP="00333DE9">
      <w:pPr>
        <w:ind w:left="426"/>
        <w:jc w:val="both"/>
        <w:rPr>
          <w:rFonts w:ascii="Calibri" w:hAnsi="Calibri"/>
          <w:b/>
        </w:rPr>
      </w:pPr>
      <w:r w:rsidRPr="00E8313D">
        <w:rPr>
          <w:rFonts w:ascii="Calibri" w:hAnsi="Calibri"/>
          <w:b/>
        </w:rPr>
        <w:t xml:space="preserve">Pályázó: </w:t>
      </w:r>
      <w:r w:rsidRPr="00E8313D">
        <w:rPr>
          <w:rFonts w:ascii="Calibri" w:hAnsi="Calibri"/>
          <w:bCs/>
        </w:rPr>
        <w:t>Futureal Management Kft.</w:t>
      </w:r>
    </w:p>
    <w:p w14:paraId="0D09F189" w14:textId="77777777" w:rsidR="00333DE9" w:rsidRPr="00E8313D" w:rsidRDefault="00333DE9" w:rsidP="00333DE9">
      <w:pPr>
        <w:ind w:left="426"/>
        <w:jc w:val="both"/>
        <w:rPr>
          <w:rFonts w:ascii="Calibri" w:hAnsi="Calibri"/>
          <w:b/>
        </w:rPr>
      </w:pPr>
      <w:r w:rsidRPr="00E8313D">
        <w:rPr>
          <w:rFonts w:ascii="Calibri" w:hAnsi="Calibri"/>
          <w:b/>
        </w:rPr>
        <w:t xml:space="preserve">Beruházó: </w:t>
      </w:r>
      <w:r w:rsidRPr="00E8313D">
        <w:rPr>
          <w:rFonts w:ascii="Calibri" w:hAnsi="Calibri"/>
          <w:bCs/>
        </w:rPr>
        <w:t>Erste Alapkezelő</w:t>
      </w:r>
    </w:p>
    <w:p w14:paraId="5183DC7A" w14:textId="77777777" w:rsidR="00333DE9" w:rsidRPr="00E8313D" w:rsidRDefault="00333DE9" w:rsidP="00333DE9">
      <w:pPr>
        <w:ind w:left="426"/>
        <w:jc w:val="both"/>
        <w:rPr>
          <w:rFonts w:ascii="Calibri" w:hAnsi="Calibri"/>
          <w:b/>
        </w:rPr>
      </w:pPr>
      <w:r w:rsidRPr="00E8313D">
        <w:rPr>
          <w:rFonts w:ascii="Calibri" w:hAnsi="Calibri"/>
          <w:b/>
        </w:rPr>
        <w:t xml:space="preserve">Tervező: </w:t>
      </w:r>
      <w:proofErr w:type="spellStart"/>
      <w:r w:rsidRPr="00E8313D">
        <w:rPr>
          <w:rFonts w:ascii="Calibri" w:hAnsi="Calibri"/>
          <w:bCs/>
        </w:rPr>
        <w:t>Paulinyi</w:t>
      </w:r>
      <w:proofErr w:type="spellEnd"/>
      <w:r w:rsidRPr="00E8313D">
        <w:rPr>
          <w:rFonts w:ascii="Calibri" w:hAnsi="Calibri"/>
          <w:bCs/>
        </w:rPr>
        <w:t xml:space="preserve"> &amp; </w:t>
      </w:r>
      <w:proofErr w:type="spellStart"/>
      <w:r w:rsidRPr="00E8313D">
        <w:rPr>
          <w:rFonts w:ascii="Calibri" w:hAnsi="Calibri"/>
          <w:bCs/>
        </w:rPr>
        <w:t>Partners</w:t>
      </w:r>
      <w:proofErr w:type="spellEnd"/>
    </w:p>
    <w:p w14:paraId="4AAE07A4" w14:textId="77777777" w:rsidR="00333DE9" w:rsidRPr="00E8313D" w:rsidRDefault="00333DE9" w:rsidP="00333DE9">
      <w:pPr>
        <w:ind w:left="426"/>
        <w:jc w:val="both"/>
        <w:rPr>
          <w:rFonts w:ascii="Calibri" w:hAnsi="Calibri"/>
          <w:b/>
        </w:rPr>
      </w:pPr>
      <w:r w:rsidRPr="00E8313D">
        <w:rPr>
          <w:rFonts w:ascii="Calibri" w:hAnsi="Calibri"/>
          <w:b/>
        </w:rPr>
        <w:t xml:space="preserve">Kivitelező: </w:t>
      </w:r>
      <w:proofErr w:type="spellStart"/>
      <w:r w:rsidRPr="00E8313D">
        <w:rPr>
          <w:rFonts w:ascii="Calibri" w:hAnsi="Calibri"/>
          <w:bCs/>
        </w:rPr>
        <w:t>Pedrano</w:t>
      </w:r>
      <w:proofErr w:type="spellEnd"/>
      <w:r w:rsidRPr="00E8313D">
        <w:rPr>
          <w:rFonts w:ascii="Calibri" w:hAnsi="Calibri"/>
          <w:bCs/>
        </w:rPr>
        <w:t xml:space="preserve"> </w:t>
      </w:r>
      <w:proofErr w:type="spellStart"/>
      <w:r w:rsidRPr="00E8313D">
        <w:rPr>
          <w:rFonts w:ascii="Calibri" w:hAnsi="Calibri"/>
          <w:bCs/>
        </w:rPr>
        <w:t>Construction</w:t>
      </w:r>
      <w:proofErr w:type="spellEnd"/>
      <w:r w:rsidRPr="00E8313D">
        <w:rPr>
          <w:rFonts w:ascii="Calibri" w:hAnsi="Calibri"/>
          <w:bCs/>
        </w:rPr>
        <w:t xml:space="preserve"> Hungary Építőipari Kft.</w:t>
      </w:r>
    </w:p>
    <w:p w14:paraId="1167F7D2" w14:textId="77777777" w:rsidR="00333DE9" w:rsidRPr="00E8313D" w:rsidRDefault="00333DE9" w:rsidP="00333DE9">
      <w:pPr>
        <w:ind w:left="426"/>
        <w:jc w:val="both"/>
        <w:rPr>
          <w:rFonts w:ascii="Calibri" w:hAnsi="Calibri"/>
          <w:b/>
          <w:color w:val="FF0000"/>
        </w:rPr>
      </w:pPr>
    </w:p>
    <w:p w14:paraId="5C9AF393" w14:textId="77777777" w:rsidR="00333DE9" w:rsidRPr="00E8313D" w:rsidRDefault="00333DE9" w:rsidP="00333DE9">
      <w:pPr>
        <w:ind w:left="426"/>
        <w:jc w:val="both"/>
        <w:rPr>
          <w:rFonts w:ascii="Calibri" w:hAnsi="Calibri"/>
          <w:b/>
          <w:color w:val="FF0000"/>
          <w:u w:val="single"/>
        </w:rPr>
      </w:pPr>
    </w:p>
    <w:p w14:paraId="3F7F48C3" w14:textId="77777777" w:rsidR="00333DE9" w:rsidRPr="00E8313D" w:rsidRDefault="00333DE9" w:rsidP="00333DE9">
      <w:pPr>
        <w:rPr>
          <w:rFonts w:ascii="Calibri" w:hAnsi="Calibri"/>
        </w:rPr>
      </w:pPr>
      <w:r w:rsidRPr="00E8313D">
        <w:rPr>
          <w:rFonts w:ascii="Calibri" w:hAnsi="Calibri"/>
          <w:b/>
          <w:u w:val="single"/>
        </w:rPr>
        <w:t xml:space="preserve">Az </w:t>
      </w:r>
      <w:proofErr w:type="gramStart"/>
      <w:r w:rsidRPr="00E8313D">
        <w:rPr>
          <w:rFonts w:ascii="Calibri" w:hAnsi="Calibri"/>
          <w:b/>
          <w:u w:val="single"/>
        </w:rPr>
        <w:t>ingatlanfejlesztés  koncepciója</w:t>
      </w:r>
      <w:proofErr w:type="gramEnd"/>
    </w:p>
    <w:p w14:paraId="11172C12" w14:textId="77777777" w:rsidR="00333DE9" w:rsidRPr="00E8313D" w:rsidRDefault="00333DE9" w:rsidP="00333DE9">
      <w:pPr>
        <w:rPr>
          <w:rFonts w:ascii="Calibri" w:hAnsi="Calibri"/>
          <w:i/>
          <w:color w:val="FF0000"/>
        </w:rPr>
      </w:pPr>
    </w:p>
    <w:p w14:paraId="4102701A" w14:textId="77777777" w:rsidR="00333DE9" w:rsidRPr="00E8313D" w:rsidRDefault="00333DE9" w:rsidP="00333DE9">
      <w:pPr>
        <w:ind w:left="720"/>
        <w:jc w:val="both"/>
        <w:rPr>
          <w:rFonts w:ascii="Calibri" w:hAnsi="Calibri"/>
        </w:rPr>
      </w:pPr>
      <w:r w:rsidRPr="00E8313D">
        <w:rPr>
          <w:rFonts w:ascii="Calibri" w:hAnsi="Calibri"/>
        </w:rPr>
        <w:t xml:space="preserve">Az </w:t>
      </w:r>
      <w:proofErr w:type="spellStart"/>
      <w:r w:rsidRPr="00E8313D">
        <w:rPr>
          <w:rFonts w:ascii="Calibri" w:hAnsi="Calibri"/>
        </w:rPr>
        <w:t>Advance</w:t>
      </w:r>
      <w:proofErr w:type="spellEnd"/>
      <w:r w:rsidRPr="00E8313D">
        <w:rPr>
          <w:rFonts w:ascii="Calibri" w:hAnsi="Calibri"/>
        </w:rPr>
        <w:t xml:space="preserve"> </w:t>
      </w:r>
      <w:proofErr w:type="spellStart"/>
      <w:r w:rsidRPr="00E8313D">
        <w:rPr>
          <w:rFonts w:ascii="Calibri" w:hAnsi="Calibri"/>
        </w:rPr>
        <w:t>Towers</w:t>
      </w:r>
      <w:proofErr w:type="spellEnd"/>
      <w:r w:rsidRPr="00E8313D">
        <w:rPr>
          <w:rFonts w:ascii="Calibri" w:hAnsi="Calibri"/>
        </w:rPr>
        <w:t xml:space="preserve"> volt az első WELL-előminősítésű irodaépület, amely a hazai piacon tulajdonost cserélt. Az </w:t>
      </w:r>
      <w:proofErr w:type="spellStart"/>
      <w:r w:rsidRPr="00E8313D">
        <w:rPr>
          <w:rFonts w:ascii="Calibri" w:hAnsi="Calibri"/>
        </w:rPr>
        <w:t>Advance</w:t>
      </w:r>
      <w:proofErr w:type="spellEnd"/>
      <w:r w:rsidRPr="00E8313D">
        <w:rPr>
          <w:rFonts w:ascii="Calibri" w:hAnsi="Calibri"/>
        </w:rPr>
        <w:t xml:space="preserve"> Tower 12 100 négyzetméteres első és a 7800 négyzetméteres második ütemében olyan meghatározó bérlők képviseltetik magukat, minta az APEX és a KPMG Global Services tanácsadó társaság, valamint az </w:t>
      </w:r>
      <w:proofErr w:type="spellStart"/>
      <w:r w:rsidRPr="00E8313D">
        <w:rPr>
          <w:rFonts w:ascii="Calibri" w:hAnsi="Calibri"/>
        </w:rPr>
        <w:t>Thermo</w:t>
      </w:r>
      <w:proofErr w:type="spellEnd"/>
      <w:r w:rsidRPr="00E8313D">
        <w:rPr>
          <w:rFonts w:ascii="Calibri" w:hAnsi="Calibri"/>
        </w:rPr>
        <w:t xml:space="preserve"> </w:t>
      </w:r>
      <w:proofErr w:type="spellStart"/>
      <w:r w:rsidRPr="00E8313D">
        <w:rPr>
          <w:rFonts w:ascii="Calibri" w:hAnsi="Calibri"/>
        </w:rPr>
        <w:t>Fisher</w:t>
      </w:r>
      <w:proofErr w:type="spellEnd"/>
      <w:r w:rsidRPr="00E8313D">
        <w:rPr>
          <w:rFonts w:ascii="Calibri" w:hAnsi="Calibri"/>
        </w:rPr>
        <w:t xml:space="preserve"> </w:t>
      </w:r>
      <w:proofErr w:type="spellStart"/>
      <w:r w:rsidRPr="00E8313D">
        <w:rPr>
          <w:rFonts w:ascii="Calibri" w:hAnsi="Calibri"/>
        </w:rPr>
        <w:t>Scientific</w:t>
      </w:r>
      <w:proofErr w:type="spellEnd"/>
      <w:r w:rsidRPr="00E8313D">
        <w:rPr>
          <w:rFonts w:ascii="Calibri" w:hAnsi="Calibri"/>
        </w:rPr>
        <w:t xml:space="preserve">, a világ vezető vállalata a tudomány szolgálatában. A BREEAM-tanúsítvánnyal is rendelkező komplexum mindkét ütemét a WELL Building Standard (WELL) minősítésének megfelelően alakították ki a dolgozók egészségi állapotára és közérzetére pozitív hatást gyakorló szempontok szerint. 1200 négyzetméteres zöldfelületet biztosító tetőkert, többszintes belső udvar, közösségi terek és otthonos légkör, valamint számos szolgáltatás várja a dolgozókat. </w:t>
      </w:r>
    </w:p>
    <w:p w14:paraId="15936CD1" w14:textId="77777777" w:rsidR="00333DE9" w:rsidRPr="00E8313D" w:rsidRDefault="00333DE9" w:rsidP="00333DE9">
      <w:pPr>
        <w:ind w:left="720"/>
        <w:jc w:val="both"/>
        <w:rPr>
          <w:rFonts w:ascii="Calibri" w:hAnsi="Calibri"/>
        </w:rPr>
      </w:pPr>
    </w:p>
    <w:p w14:paraId="53C23975" w14:textId="77777777" w:rsidR="00333DE9" w:rsidRPr="00E8313D" w:rsidRDefault="00333DE9" w:rsidP="00333DE9">
      <w:pPr>
        <w:ind w:left="720"/>
        <w:jc w:val="both"/>
        <w:rPr>
          <w:rFonts w:ascii="Calibri" w:hAnsi="Calibri"/>
        </w:rPr>
      </w:pPr>
    </w:p>
    <w:p w14:paraId="5D232BCC" w14:textId="77777777" w:rsidR="00333DE9" w:rsidRPr="00E8313D" w:rsidRDefault="00333DE9" w:rsidP="00333DE9">
      <w:pPr>
        <w:rPr>
          <w:rFonts w:ascii="Calibri" w:hAnsi="Calibri"/>
          <w:noProof/>
        </w:rPr>
      </w:pPr>
    </w:p>
    <w:p w14:paraId="58AA8138" w14:textId="77777777" w:rsidR="00333DE9" w:rsidRDefault="00333DE9"/>
    <w:sectPr w:rsidR="00333DE9" w:rsidSect="00074970">
      <w:headerReference w:type="default" r:id="rId6"/>
      <w:footerReference w:type="default" r:id="rId7"/>
      <w:pgSz w:w="11906" w:h="16838"/>
      <w:pgMar w:top="1417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F99BE" w14:textId="77777777" w:rsidR="0098199A" w:rsidRDefault="0098199A">
      <w:r>
        <w:separator/>
      </w:r>
    </w:p>
  </w:endnote>
  <w:endnote w:type="continuationSeparator" w:id="0">
    <w:p w14:paraId="24FB3C53" w14:textId="77777777" w:rsidR="0098199A" w:rsidRDefault="0098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A8AEE" w14:textId="77777777" w:rsidR="00476959" w:rsidRDefault="00333DE9" w:rsidP="00476959">
    <w:pPr>
      <w:pStyle w:val="llb"/>
      <w:pBdr>
        <w:top w:val="single" w:sz="4" w:space="1" w:color="auto"/>
      </w:pBdr>
      <w:jc w:val="center"/>
      <w:rPr>
        <w:rFonts w:ascii="Century Gothic" w:hAnsi="Century Gothic"/>
        <w:color w:val="A6A6A6"/>
        <w:sz w:val="16"/>
        <w:szCs w:val="16"/>
      </w:rPr>
    </w:pPr>
    <w:r>
      <w:rPr>
        <w:rFonts w:ascii="Century Gothic" w:hAnsi="Century Gothic"/>
        <w:color w:val="A6A6A6"/>
        <w:sz w:val="16"/>
        <w:szCs w:val="16"/>
      </w:rPr>
      <w:t>FIABCI HUNGARY – XXII. Magyar Ingatlanfejlesztési Nívódíj Pályázat 2020</w:t>
    </w:r>
  </w:p>
  <w:p w14:paraId="4910BA02" w14:textId="77777777" w:rsidR="0052346D" w:rsidRPr="00476959" w:rsidRDefault="0098199A" w:rsidP="00476959">
    <w:pPr>
      <w:pStyle w:val="llb"/>
      <w:pBdr>
        <w:top w:val="single" w:sz="4" w:space="1" w:color="auto"/>
      </w:pBdr>
      <w:jc w:val="center"/>
      <w:rPr>
        <w:rFonts w:ascii="Century Gothic" w:hAnsi="Century Gothic"/>
        <w:color w:val="A6A6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05191" w14:textId="77777777" w:rsidR="0098199A" w:rsidRDefault="0098199A">
      <w:r>
        <w:separator/>
      </w:r>
    </w:p>
  </w:footnote>
  <w:footnote w:type="continuationSeparator" w:id="0">
    <w:p w14:paraId="1A93D25C" w14:textId="77777777" w:rsidR="0098199A" w:rsidRDefault="00981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CC51F" w14:textId="09E43E77" w:rsidR="008B6034" w:rsidRDefault="00333DE9" w:rsidP="00F41E66">
    <w:pPr>
      <w:pBdr>
        <w:bottom w:val="single" w:sz="4" w:space="1" w:color="auto"/>
      </w:pBdr>
      <w:jc w:val="center"/>
      <w:rPr>
        <w:rFonts w:ascii="Century Gothic" w:hAnsi="Century Gothic"/>
        <w:color w:val="FF0000"/>
      </w:rPr>
    </w:pPr>
    <w:r>
      <w:rPr>
        <w:noProof/>
      </w:rPr>
      <w:drawing>
        <wp:inline distT="0" distB="0" distL="0" distR="0" wp14:anchorId="29541956" wp14:editId="324B32AF">
          <wp:extent cx="1620520" cy="105346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520" cy="105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02F7AC" w14:textId="77777777" w:rsidR="008B6034" w:rsidRDefault="0098199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E9"/>
    <w:rsid w:val="00333DE9"/>
    <w:rsid w:val="007A5079"/>
    <w:rsid w:val="0098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B940"/>
  <w15:chartTrackingRefBased/>
  <w15:docId w15:val="{051B9994-D1B1-48CD-BF8B-5A37FE7D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3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333D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33D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333D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33DE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863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Gönczi László</dc:creator>
  <cp:keywords/>
  <dc:description/>
  <cp:lastModifiedBy>Gönczi László</cp:lastModifiedBy>
  <cp:revision>1</cp:revision>
  <dcterms:created xsi:type="dcterms:W3CDTF">2020-09-30T14:52:00Z</dcterms:created>
  <dcterms:modified xsi:type="dcterms:W3CDTF">2020-09-30T14:53:00Z</dcterms:modified>
</cp:coreProperties>
</file>